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300"/>
        <w:ind w:left="200" w:hanging="200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 w:hint="default"/>
          <w:b w:val="1"/>
          <w:bCs w:val="1"/>
          <w:sz w:val="36"/>
          <w:szCs w:val="36"/>
          <w:rtl w:val="0"/>
          <w:lang w:val="ru-RU"/>
        </w:rPr>
        <w:t xml:space="preserve">Технический райдер коллектива 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RICH</w:t>
      </w:r>
      <w:r>
        <w:rPr>
          <w:rFonts w:ascii="Arial" w:hAnsi="Arial"/>
          <w:b w:val="1"/>
          <w:bCs w:val="1"/>
          <w:sz w:val="36"/>
          <w:szCs w:val="36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BAND</w:t>
      </w:r>
      <w:r>
        <w:rPr>
          <w:rFonts w:ascii="Arial" w:hAnsi="Arial"/>
          <w:b w:val="1"/>
          <w:bCs w:val="1"/>
          <w:sz w:val="36"/>
          <w:szCs w:val="36"/>
          <w:rtl w:val="0"/>
          <w:lang w:val="ru-RU"/>
        </w:rPr>
        <w:t>.</w:t>
      </w:r>
    </w:p>
    <w:p>
      <w:pPr>
        <w:pStyle w:val="Normal.0"/>
        <w:tabs>
          <w:tab w:val="left" w:pos="200"/>
        </w:tabs>
        <w:spacing w:before="300"/>
        <w:ind w:left="200" w:hanging="20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ru-RU"/>
        </w:rPr>
        <w:t xml:space="preserve">                               </w:t>
      </w:r>
    </w:p>
    <w:p>
      <w:pPr>
        <w:pStyle w:val="Normal.0"/>
        <w:spacing w:line="252" w:lineRule="auto"/>
        <w:jc w:val="center"/>
      </w:pPr>
      <w:r>
        <w:rPr>
          <w:rFonts w:ascii="Arial" w:hAnsi="Arial" w:hint="default"/>
          <w:b w:val="1"/>
          <w:bCs w:val="1"/>
          <w:rtl w:val="0"/>
          <w:lang w:val="ru-RU"/>
        </w:rPr>
        <w:t>ОТСТУПЛЕНИЯ ОТ ДАННОГО РАЙДЕРА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ОБЯЗАТЕЛЬНО  ДОЛЖНЫ СОГЛАСОВЫВАТЬСЯ СО ЗВУКОРЕЖИССЕРОМ ГРУППЫ ЗАРАНЕЕ</w:t>
      </w:r>
      <w:r>
        <w:rPr>
          <w:rFonts w:ascii="Arial" w:hAnsi="Arial"/>
          <w:b w:val="1"/>
          <w:bCs w:val="1"/>
          <w:rtl w:val="0"/>
          <w:lang w:val="ru-RU"/>
        </w:rPr>
        <w:t>!!!</w:t>
      </w:r>
    </w:p>
    <w:p>
      <w:pPr>
        <w:pStyle w:val="Normal.0"/>
        <w:spacing w:before="300"/>
        <w:ind w:left="200" w:hanging="200"/>
        <w:jc w:val="both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ru-RU"/>
        </w:rPr>
        <w:t>1.PA (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ru-RU"/>
        </w:rPr>
        <w:t>Основные акустические системы</w:t>
      </w:r>
      <w:r>
        <w:rPr>
          <w:rFonts w:ascii="Cambria" w:hAnsi="Cambria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Normal.0"/>
        <w:spacing w:before="300"/>
        <w:ind w:left="200" w:hanging="200"/>
        <w:jc w:val="both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No Spacing"/>
        <w:jc w:val="both"/>
      </w:pPr>
      <w:r>
        <w:rPr>
          <w:rtl w:val="0"/>
          <w:lang w:val="ru-RU"/>
        </w:rPr>
        <w:t>Предпочтительны системы фирм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производителей</w:t>
      </w:r>
      <w:r>
        <w:rPr>
          <w:rtl w:val="0"/>
          <w:lang w:val="ru-RU"/>
        </w:rPr>
        <w:t xml:space="preserve">: </w:t>
      </w: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ru-RU"/>
        </w:rPr>
        <w:t>&amp;</w:t>
      </w:r>
      <w:r>
        <w:rPr>
          <w:b w:val="1"/>
          <w:bCs w:val="1"/>
          <w:rtl w:val="0"/>
          <w:lang w:val="en-US"/>
        </w:rPr>
        <w:t>B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en-US"/>
        </w:rPr>
        <w:t>Audiotechnik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ru-RU"/>
        </w:rPr>
        <w:t>’</w:t>
      </w:r>
      <w:r>
        <w:rPr>
          <w:b w:val="1"/>
          <w:bCs w:val="1"/>
          <w:rtl w:val="0"/>
          <w:lang w:val="en-US"/>
        </w:rPr>
        <w:t>Acoustics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en-US"/>
        </w:rPr>
        <w:t>Meyer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en-US"/>
        </w:rPr>
        <w:t>Sound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en-US"/>
        </w:rPr>
        <w:t>Coda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en-US"/>
        </w:rPr>
        <w:t>Audio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en-US"/>
        </w:rPr>
        <w:t>Nexo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en-US"/>
        </w:rPr>
        <w:t>Pro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en-US"/>
        </w:rPr>
        <w:t>Tone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en-US"/>
        </w:rPr>
        <w:t>Seeburg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Обязательно использовать усилители и контроллеры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рекомендованные производителем акустических систем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>Порталы должны быть расположены вне периметра сцены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 ее боковыми границами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чтобы не загораживать музыкантов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вынесены вперед относительно авансцены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 чтобы исключить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 по крайней мере свести к минимуму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проникновения звука от порталов в микрофоны на сцене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>Порталы должны обеспечить равномерное покрытие зрительного 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ровной амплитудно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частотной характеристикой в диапазоне </w:t>
      </w:r>
      <w:r>
        <w:rPr>
          <w:rtl w:val="0"/>
          <w:lang w:val="ru-RU"/>
        </w:rPr>
        <w:t xml:space="preserve">40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12000</w:t>
      </w:r>
      <w:r>
        <w:rPr>
          <w:rtl w:val="0"/>
          <w:lang w:val="ru-RU"/>
        </w:rPr>
        <w:t>Гц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давление </w:t>
      </w:r>
      <w:r>
        <w:rPr>
          <w:rtl w:val="0"/>
          <w:lang w:val="ru-RU"/>
        </w:rPr>
        <w:t xml:space="preserve">110 </w:t>
      </w:r>
      <w:r>
        <w:rPr>
          <w:rtl w:val="0"/>
          <w:lang w:val="ru-RU"/>
        </w:rPr>
        <w:t>дБ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RMS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без искажений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центре зала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максимальную разборчивость речи и музыкальных треков по всей озвучиваемой площади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>Если есть зрительские места непосредственно перед сценой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сбоку от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дополнить порталы акустическими системами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направленными в «глухие» ближнюю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frontfill</w:t>
      </w:r>
      <w:r>
        <w:rPr>
          <w:rtl w:val="0"/>
          <w:lang w:val="ru-RU"/>
        </w:rPr>
        <w:t xml:space="preserve"> или </w:t>
      </w:r>
      <w:r>
        <w:rPr>
          <w:rtl w:val="0"/>
          <w:lang w:val="en-US"/>
        </w:rPr>
        <w:t>infill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боковые зоны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outfill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Системы подзвучки «глухих» зон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delay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infill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outfill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frontfill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обязательно должны быть подключены к отдельным выходам микшерного пульта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>Спецификацию системы необходимо заранее согласовать со звукорежиссером группы письменно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электронную почту</w:t>
      </w:r>
      <w:r>
        <w:rPr>
          <w:rtl w:val="0"/>
          <w:lang w:val="ru-RU"/>
        </w:rPr>
        <w:t>!!!</w:t>
      </w:r>
    </w:p>
    <w:p>
      <w:pPr>
        <w:pStyle w:val="Normal.0"/>
        <w:spacing w:line="216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line="216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ind w:left="200" w:hanging="200"/>
        <w:jc w:val="both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ru-RU"/>
        </w:rPr>
        <w:t>Мониторы</w:t>
      </w:r>
    </w:p>
    <w:p>
      <w:pPr>
        <w:pStyle w:val="No Spacing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Возможны разные конфигурации</w:t>
      </w:r>
      <w:r>
        <w:rPr>
          <w:b w:val="1"/>
          <w:bCs w:val="1"/>
          <w:rtl w:val="0"/>
          <w:lang w:val="ru-RU"/>
        </w:rPr>
        <w:t xml:space="preserve">!!! </w:t>
      </w:r>
    </w:p>
    <w:p>
      <w:pPr>
        <w:pStyle w:val="No Spacing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Необходимо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линий мониторов</w:t>
      </w:r>
      <w:r>
        <w:rPr>
          <w:rtl w:val="0"/>
          <w:lang w:val="ru-RU"/>
        </w:rPr>
        <w:t xml:space="preserve">: 6 </w:t>
      </w:r>
      <w:r>
        <w:rPr>
          <w:rtl w:val="0"/>
          <w:lang w:val="ru-RU"/>
        </w:rPr>
        <w:t xml:space="preserve">кабинетов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300</w:t>
      </w:r>
      <w:r>
        <w:rPr>
          <w:rtl w:val="0"/>
          <w:lang w:val="ru-RU"/>
        </w:rPr>
        <w:t>Вт каждый</w:t>
      </w:r>
      <w:r>
        <w:rPr>
          <w:rtl w:val="0"/>
          <w:lang w:val="ru-RU"/>
        </w:rPr>
        <w:t>)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 xml:space="preserve">aux1 - 2 </w:t>
      </w:r>
      <w:r>
        <w:rPr>
          <w:rtl w:val="0"/>
          <w:lang w:val="ru-RU"/>
        </w:rPr>
        <w:t xml:space="preserve">кабинета </w:t>
      </w:r>
      <w:r>
        <w:rPr>
          <w:rtl w:val="0"/>
          <w:lang w:val="ru-RU"/>
        </w:rPr>
        <w:t>(Voc.)</w:t>
      </w:r>
    </w:p>
    <w:p>
      <w:pPr>
        <w:pStyle w:val="No Spacing"/>
        <w:jc w:val="both"/>
      </w:pPr>
      <w:r>
        <w:rPr>
          <w:rtl w:val="0"/>
          <w:lang w:val="ru-RU"/>
        </w:rPr>
        <w:t>aux2 - 1</w:t>
      </w:r>
      <w:r>
        <w:rPr>
          <w:rtl w:val="0"/>
          <w:lang w:val="ru-RU"/>
        </w:rPr>
        <w:t xml:space="preserve">кабинета </w:t>
      </w:r>
      <w:r>
        <w:rPr>
          <w:rtl w:val="0"/>
          <w:lang w:val="ru-RU"/>
        </w:rPr>
        <w:t xml:space="preserve">(Guit.)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aux3 - 1 </w:t>
      </w:r>
      <w:r>
        <w:rPr>
          <w:rtl w:val="0"/>
          <w:lang w:val="ru-RU"/>
        </w:rPr>
        <w:t xml:space="preserve">кабинета </w:t>
      </w:r>
      <w:r>
        <w:rPr>
          <w:rtl w:val="0"/>
          <w:lang w:val="ru-RU"/>
        </w:rPr>
        <w:t xml:space="preserve">(Key.)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aux4 - 1 </w:t>
      </w:r>
      <w:r>
        <w:rPr>
          <w:rtl w:val="0"/>
          <w:lang w:val="ru-RU"/>
        </w:rPr>
        <w:t xml:space="preserve">кабинет </w:t>
      </w:r>
      <w:r>
        <w:rPr>
          <w:rtl w:val="0"/>
          <w:lang w:val="ru-RU"/>
        </w:rPr>
        <w:t>(Bass)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aux5 - 1 </w:t>
      </w:r>
      <w:r>
        <w:rPr>
          <w:rtl w:val="0"/>
          <w:lang w:val="ru-RU"/>
        </w:rPr>
        <w:t xml:space="preserve">кабинет </w:t>
      </w:r>
      <w:r>
        <w:rPr>
          <w:rtl w:val="0"/>
          <w:lang w:val="ru-RU"/>
        </w:rPr>
        <w:t xml:space="preserve">(Drums), </w:t>
      </w:r>
      <w:r>
        <w:rPr>
          <w:rtl w:val="0"/>
          <w:lang w:val="ru-RU"/>
        </w:rPr>
        <w:t>на больших площадках желательно Саб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Сателлит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>aux6 - About arrows (</w:t>
      </w:r>
      <w:r>
        <w:rPr>
          <w:rtl w:val="0"/>
          <w:lang w:val="ru-RU"/>
        </w:rPr>
        <w:t>Прострел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 больших площадках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   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3. FOH-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ru-RU"/>
        </w:rPr>
        <w:t>пульт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.0"/>
        <w:jc w:val="both"/>
        <w:rPr>
          <w:rFonts w:ascii="Cambria" w:cs="Cambria" w:hAnsi="Cambria" w:eastAsia="Cambria"/>
          <w:b w:val="1"/>
          <w:bCs w:val="1"/>
          <w:lang w:val="en-US"/>
        </w:rPr>
      </w:pPr>
    </w:p>
    <w:p>
      <w:pPr>
        <w:pStyle w:val="Normal.0"/>
        <w:jc w:val="both"/>
      </w:pPr>
      <w:r>
        <w:rPr>
          <w:b w:val="1"/>
          <w:bCs w:val="1"/>
          <w:rtl w:val="0"/>
          <w:lang w:val="ru-RU"/>
        </w:rPr>
        <w:t>ТОЛЬКО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ru-RU"/>
        </w:rPr>
        <w:t>ЦИФРОВАЯ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ru-RU"/>
        </w:rPr>
        <w:t>МИКШЕРНАЯ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ru-RU"/>
        </w:rPr>
        <w:t>СИСТЕМА</w:t>
      </w:r>
      <w:r>
        <w:rPr>
          <w:rtl w:val="0"/>
          <w:lang w:val="en-US"/>
        </w:rPr>
        <w:t xml:space="preserve"> – </w:t>
      </w:r>
      <w:r>
        <w:rPr>
          <w:rtl w:val="0"/>
          <w:lang w:val="en-US"/>
        </w:rPr>
        <w:t>(Yamaha CL, QL series; Allen&amp;Heath GLD, ILive series, dLive series; Midas M32, Pro; Roland M5000).</w:t>
      </w:r>
    </w:p>
    <w:p>
      <w:pPr>
        <w:pStyle w:val="Normal.0"/>
        <w:jc w:val="both"/>
        <w:rPr>
          <w:u w:val="single"/>
        </w:rPr>
      </w:pPr>
      <w:r>
        <w:rPr>
          <w:u w:val="single"/>
          <w:rtl w:val="0"/>
          <w:lang w:val="en-US"/>
        </w:rPr>
        <w:t>WiFi</w:t>
      </w:r>
      <w:r>
        <w:rPr>
          <w:u w:val="single"/>
          <w:rtl w:val="0"/>
          <w:lang w:val="ru-RU"/>
        </w:rPr>
        <w:t xml:space="preserve"> роутер и </w:t>
      </w:r>
      <w:r>
        <w:rPr>
          <w:u w:val="single"/>
          <w:rtl w:val="0"/>
          <w:lang w:val="en-US"/>
        </w:rPr>
        <w:t>IPad</w:t>
      </w:r>
      <w:r>
        <w:rPr>
          <w:u w:val="single"/>
          <w:rtl w:val="0"/>
          <w:lang w:val="ru-RU"/>
        </w:rPr>
        <w:t xml:space="preserve"> с программой дистанционного управления консолью</w:t>
      </w:r>
      <w:r>
        <w:rPr>
          <w:u w:val="single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4. </w:t>
      </w:r>
      <w:r>
        <w:rPr>
          <w:rFonts w:ascii="Arial" w:hAnsi="Arial" w:hint="default"/>
          <w:b w:val="1"/>
          <w:bCs w:val="1"/>
          <w:smallCaps w:val="1"/>
          <w:rtl w:val="0"/>
          <w:lang w:val="ru-RU"/>
        </w:rPr>
        <w:t>Сцена</w:t>
      </w:r>
    </w:p>
    <w:p>
      <w:pPr>
        <w:pStyle w:val="Normal.0"/>
        <w:ind w:left="200" w:firstLine="0"/>
        <w:jc w:val="both"/>
        <w:rPr>
          <w:rFonts w:ascii="Arial" w:cs="Arial" w:hAnsi="Arial" w:eastAsia="Arial"/>
          <w:b w:val="1"/>
          <w:bCs w:val="1"/>
          <w:i w:val="1"/>
          <w:iCs w:val="1"/>
          <w:smallCaps w:val="1"/>
          <w:u w:val="single"/>
        </w:rPr>
      </w:pPr>
    </w:p>
    <w:p>
      <w:pPr>
        <w:pStyle w:val="Normal.0"/>
        <w:jc w:val="both"/>
      </w:pPr>
      <w:r>
        <w:rPr>
          <w:rtl w:val="0"/>
          <w:lang w:val="ru-RU"/>
        </w:rPr>
        <w:t xml:space="preserve">Два радиомикрофона </w:t>
      </w:r>
      <w:r>
        <w:rPr>
          <w:rtl w:val="0"/>
          <w:lang w:val="ru-RU"/>
        </w:rPr>
        <w:t xml:space="preserve">Shure </w:t>
      </w:r>
      <w:r>
        <w:rPr>
          <w:rtl w:val="0"/>
          <w:lang w:val="en-US"/>
        </w:rPr>
        <w:t>SM</w:t>
      </w:r>
      <w:r>
        <w:rPr>
          <w:rtl w:val="0"/>
          <w:lang w:val="ru-RU"/>
        </w:rPr>
        <w:t>58</w:t>
      </w:r>
      <w:r>
        <w:rPr>
          <w:rtl w:val="0"/>
          <w:lang w:val="en-US"/>
        </w:rPr>
        <w:t>BETA</w:t>
      </w:r>
      <w:r>
        <w:rPr>
          <w:rtl w:val="0"/>
          <w:lang w:val="ru-RU"/>
        </w:rPr>
        <w:t xml:space="preserve"> и один шнуровой </w:t>
      </w:r>
      <w:r>
        <w:rPr>
          <w:rtl w:val="0"/>
          <w:lang w:val="ru-RU"/>
        </w:rPr>
        <w:t xml:space="preserve">Shure </w:t>
      </w:r>
      <w:r>
        <w:rPr>
          <w:rtl w:val="0"/>
          <w:lang w:val="en-US"/>
        </w:rPr>
        <w:t>BETA</w:t>
      </w:r>
      <w:r>
        <w:rPr>
          <w:rtl w:val="0"/>
          <w:lang w:val="ru-RU"/>
        </w:rPr>
        <w:t xml:space="preserve">58. </w:t>
      </w:r>
      <w:r>
        <w:rPr>
          <w:rtl w:val="0"/>
          <w:lang w:val="ru-RU"/>
        </w:rPr>
        <w:t>Все микрофоны на стойках</w:t>
      </w:r>
      <w:r>
        <w:rPr>
          <w:rtl w:val="0"/>
          <w:lang w:val="ru-RU"/>
        </w:rPr>
        <w:t>!</w:t>
      </w:r>
    </w:p>
    <w:p>
      <w:pPr>
        <w:pStyle w:val="Normal.0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 xml:space="preserve">Гитарный комбоусилитель </w:t>
      </w:r>
      <w:r>
        <w:rPr>
          <w:rtl w:val="0"/>
          <w:lang w:val="ru-RU"/>
        </w:rPr>
        <w:t>Fender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rtl w:val="0"/>
          <w:lang w:val="en-US"/>
        </w:rPr>
        <w:t>Twin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rtl w:val="0"/>
          <w:lang w:val="en-US"/>
        </w:rPr>
        <w:t>amp</w:t>
      </w:r>
      <w:r>
        <w:rPr>
          <w:rFonts w:ascii="Arial" w:hAnsi="Arial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SHURE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SM</w:t>
      </w:r>
      <w:r>
        <w:rPr>
          <w:rtl w:val="0"/>
          <w:lang w:val="ru-RU"/>
        </w:rPr>
        <w:t>57)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tl w:val="0"/>
          <w:lang w:val="ru-RU"/>
        </w:rPr>
        <w:t>гитарная стойка с держателем грифа</w:t>
      </w:r>
      <w:r>
        <w:rPr>
          <w:rFonts w:ascii="Arial" w:hAnsi="Arial"/>
          <w:rtl w:val="0"/>
          <w:lang w:val="ru-RU"/>
        </w:rPr>
        <w:t>.</w:t>
      </w:r>
      <w:r>
        <w:rPr>
          <w:rtl w:val="0"/>
          <w:lang w:val="ru-RU"/>
        </w:rPr>
        <w:t xml:space="preserve">  </w:t>
      </w:r>
    </w:p>
    <w:p>
      <w:pPr>
        <w:pStyle w:val="No Spacing"/>
        <w:jc w:val="both"/>
      </w:pPr>
    </w:p>
    <w:p>
      <w:pPr>
        <w:pStyle w:val="No Spacing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>Басовый Кабинет</w:t>
      </w:r>
      <w:r>
        <w:rPr>
          <w:rFonts w:ascii="Arial" w:hAnsi="Arial"/>
          <w:rtl w:val="0"/>
          <w:lang w:val="ru-RU"/>
        </w:rPr>
        <w:t xml:space="preserve"> 4*10</w:t>
      </w:r>
      <w:r>
        <w:rPr>
          <w:rtl w:val="0"/>
          <w:lang w:val="ru-RU"/>
        </w:rPr>
        <w:t xml:space="preserve">” </w:t>
      </w:r>
      <w:r>
        <w:rPr>
          <w:rFonts w:ascii="Arial" w:hAnsi="Arial"/>
          <w:rtl w:val="0"/>
          <w:lang w:val="ru-RU"/>
        </w:rPr>
        <w:t>(</w:t>
      </w:r>
      <w:r>
        <w:rPr>
          <w:rtl w:val="0"/>
          <w:lang w:val="ru-RU"/>
        </w:rPr>
        <w:t>поставить на кофр</w:t>
      </w:r>
      <w:r>
        <w:rPr>
          <w:rFonts w:ascii="Arial" w:hAnsi="Arial"/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>8*10</w:t>
      </w:r>
      <w:r>
        <w:rPr>
          <w:rtl w:val="0"/>
          <w:lang w:val="ru-RU"/>
        </w:rPr>
        <w:t xml:space="preserve">” с усилителем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/>
          <w:rtl w:val="0"/>
          <w:lang w:val="en-US"/>
        </w:rPr>
        <w:t>Hartke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/>
          <w:rtl w:val="0"/>
          <w:lang w:val="en-US"/>
        </w:rPr>
        <w:t>SWR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/>
          <w:rtl w:val="0"/>
          <w:lang w:val="en-US"/>
        </w:rPr>
        <w:t>Epifany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/>
          <w:rtl w:val="0"/>
          <w:lang w:val="en-US"/>
        </w:rPr>
        <w:t>Galien</w:t>
      </w:r>
      <w:r>
        <w:rPr>
          <w:rFonts w:ascii="Arial" w:hAnsi="Arial"/>
          <w:rtl w:val="0"/>
          <w:lang w:val="ru-RU"/>
        </w:rPr>
        <w:t>&amp;</w:t>
      </w:r>
      <w:r>
        <w:rPr>
          <w:rFonts w:ascii="Arial" w:hAnsi="Arial"/>
          <w:rtl w:val="0"/>
          <w:lang w:val="en-US"/>
        </w:rPr>
        <w:t>Krueger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/>
          <w:rtl w:val="0"/>
          <w:lang w:val="en-US"/>
        </w:rPr>
        <w:t>EBS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/>
          <w:rtl w:val="0"/>
          <w:lang w:val="en-US"/>
        </w:rPr>
        <w:t>Eden</w:t>
      </w:r>
      <w:r>
        <w:rPr>
          <w:rFonts w:ascii="Arial" w:hAnsi="Arial"/>
          <w:rtl w:val="0"/>
          <w:lang w:val="ru-RU"/>
        </w:rPr>
        <w:t xml:space="preserve"> - </w:t>
      </w:r>
      <w:r>
        <w:rPr>
          <w:rtl w:val="0"/>
          <w:lang w:val="ru-RU"/>
        </w:rPr>
        <w:t>предпочтительны</w:t>
      </w:r>
      <w:r>
        <w:rPr>
          <w:rFonts w:ascii="Arial" w:hAnsi="Arial"/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активный </w:t>
      </w:r>
      <w:r>
        <w:rPr>
          <w:rFonts w:ascii="Arial" w:hAnsi="Arial"/>
          <w:rtl w:val="0"/>
          <w:lang w:val="ru-RU"/>
        </w:rPr>
        <w:t xml:space="preserve">DiBox; </w:t>
      </w:r>
      <w:r>
        <w:rPr>
          <w:rtl w:val="0"/>
          <w:lang w:val="ru-RU"/>
        </w:rPr>
        <w:t>гитарная стойка с держателем грифа</w:t>
      </w:r>
      <w:r>
        <w:rPr>
          <w:rFonts w:ascii="Arial" w:hAnsi="Arial"/>
          <w:rtl w:val="0"/>
          <w:lang w:val="ru-RU"/>
        </w:rPr>
        <w:t>.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 xml:space="preserve">Исправная двухъярусная клавишная стойка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</w:t>
      </w:r>
      <w:r>
        <w:rPr>
          <w:rtl w:val="0"/>
          <w:lang w:val="ru-RU"/>
        </w:rPr>
        <w:t xml:space="preserve">SPIDER!!!), 4 DiBox, </w:t>
      </w:r>
      <w:r>
        <w:rPr>
          <w:rtl w:val="0"/>
          <w:lang w:val="ru-RU"/>
        </w:rPr>
        <w:t xml:space="preserve">кабели </w:t>
      </w:r>
      <w:r>
        <w:rPr>
          <w:rtl w:val="0"/>
          <w:lang w:val="ru-RU"/>
        </w:rPr>
        <w:t xml:space="preserve">jack-jack (4 </w:t>
      </w:r>
      <w:r>
        <w:rPr>
          <w:rtl w:val="0"/>
          <w:lang w:val="ru-RU"/>
        </w:rPr>
        <w:t>шт</w:t>
      </w:r>
      <w:r>
        <w:rPr>
          <w:rtl w:val="0"/>
          <w:lang w:val="ru-RU"/>
        </w:rPr>
        <w:t>.)</w:t>
      </w:r>
    </w:p>
    <w:p>
      <w:pPr>
        <w:pStyle w:val="No Spacing"/>
        <w:jc w:val="both"/>
      </w:pPr>
    </w:p>
    <w:p>
      <w:pPr>
        <w:pStyle w:val="No Spacing"/>
        <w:jc w:val="both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ru-RU"/>
        </w:rPr>
        <w:t>Барабаны</w:t>
      </w:r>
    </w:p>
    <w:p>
      <w:pPr>
        <w:pStyle w:val="Normal.0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 xml:space="preserve">Барабаны фирм </w:t>
      </w:r>
      <w:r>
        <w:rPr>
          <w:rtl w:val="0"/>
          <w:lang w:val="en-US"/>
        </w:rPr>
        <w:t>Gretsch</w:t>
      </w:r>
      <w:r>
        <w:rPr>
          <w:rtl w:val="0"/>
          <w:lang w:val="ru-RU"/>
        </w:rPr>
        <w:t xml:space="preserve">, Tama, Yamaha, DW; 5 </w:t>
      </w:r>
      <w:r>
        <w:rPr>
          <w:rtl w:val="0"/>
          <w:lang w:val="ru-RU"/>
        </w:rPr>
        <w:t>стоек для тарелок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стойка хай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стойка под малый барабан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микрофоны для подзвучки барабанов с соответствующим количеством стоек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INPUT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LIST</w:t>
      </w:r>
      <w:r>
        <w:rPr>
          <w:rtl w:val="0"/>
          <w:lang w:val="ru-RU"/>
        </w:rPr>
        <w:t xml:space="preserve">). </w:t>
      </w:r>
    </w:p>
    <w:p>
      <w:pPr>
        <w:pStyle w:val="No Spacing"/>
        <w:jc w:val="both"/>
      </w:pPr>
      <w:r>
        <w:rPr>
          <w:rtl w:val="0"/>
          <w:lang w:val="ru-RU"/>
        </w:rPr>
        <w:t>Вся ударная установка должна располагаться на ковровом покрытии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в исправном состоянии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фетрами и зажимами</w:t>
      </w:r>
      <w:r>
        <w:rPr>
          <w:rtl w:val="0"/>
          <w:lang w:val="ru-RU"/>
        </w:rPr>
        <w:t xml:space="preserve">, 2 DiBox, </w:t>
      </w:r>
      <w:r>
        <w:rPr>
          <w:rtl w:val="0"/>
          <w:lang w:val="ru-RU"/>
        </w:rPr>
        <w:t xml:space="preserve">кабели </w:t>
      </w:r>
      <w:r>
        <w:rPr>
          <w:rtl w:val="0"/>
          <w:lang w:val="ru-RU"/>
        </w:rPr>
        <w:t xml:space="preserve">jack-jack (2 </w:t>
      </w:r>
      <w:r>
        <w:rPr>
          <w:rtl w:val="0"/>
          <w:lang w:val="ru-RU"/>
        </w:rPr>
        <w:t>шт</w:t>
      </w:r>
      <w:r>
        <w:rPr>
          <w:rtl w:val="0"/>
          <w:lang w:val="ru-RU"/>
        </w:rPr>
        <w:t>.)</w:t>
      </w: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rmal.0"/>
        <w:ind w:firstLine="220"/>
        <w:jc w:val="both"/>
        <w:rPr>
          <w:rFonts w:ascii="Arial" w:cs="Arial" w:hAnsi="Arial" w:eastAsia="Arial"/>
          <w:smallCaps w:val="1"/>
        </w:rPr>
      </w:pPr>
    </w:p>
    <w:p>
      <w:pPr>
        <w:pStyle w:val="No Spacing"/>
        <w:jc w:val="both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C</w:t>
      </w:r>
      <w:r>
        <w:rPr>
          <w:b w:val="1"/>
          <w:bCs w:val="1"/>
          <w:sz w:val="32"/>
          <w:szCs w:val="32"/>
          <w:rtl w:val="0"/>
          <w:lang w:val="ru-RU"/>
        </w:rPr>
        <w:t xml:space="preserve">аундчек коллектива длится не менее </w:t>
      </w:r>
      <w:r>
        <w:rPr>
          <w:b w:val="1"/>
          <w:bCs w:val="1"/>
          <w:sz w:val="32"/>
          <w:szCs w:val="32"/>
          <w:rtl w:val="0"/>
          <w:lang w:val="ru-RU"/>
        </w:rPr>
        <w:t>1-</w:t>
      </w:r>
      <w:r>
        <w:rPr>
          <w:b w:val="1"/>
          <w:bCs w:val="1"/>
          <w:sz w:val="32"/>
          <w:szCs w:val="32"/>
          <w:rtl w:val="0"/>
          <w:lang w:val="ru-RU"/>
        </w:rPr>
        <w:t>го часа с момента предварительной настройки аппарата принимающей стороной</w:t>
      </w:r>
      <w:r>
        <w:rPr>
          <w:b w:val="1"/>
          <w:bCs w:val="1"/>
          <w:sz w:val="32"/>
          <w:szCs w:val="32"/>
          <w:rtl w:val="0"/>
          <w:lang w:val="ru-RU"/>
        </w:rPr>
        <w:t>.</w:t>
      </w:r>
    </w:p>
    <w:p>
      <w:pPr>
        <w:pStyle w:val="No Spacing"/>
        <w:jc w:val="both"/>
        <w:rPr>
          <w:b w:val="1"/>
          <w:bCs w:val="1"/>
          <w:sz w:val="32"/>
          <w:szCs w:val="32"/>
        </w:rPr>
      </w:pPr>
    </w:p>
    <w:p>
      <w:pPr>
        <w:pStyle w:val="No Spacing"/>
        <w:jc w:val="both"/>
        <w:rPr>
          <w:b w:val="1"/>
          <w:bCs w:val="1"/>
          <w:sz w:val="32"/>
          <w:szCs w:val="32"/>
        </w:rPr>
      </w:pPr>
    </w:p>
    <w:p>
      <w:pPr>
        <w:pStyle w:val="No Spacing"/>
        <w:jc w:val="both"/>
        <w:rPr>
          <w:b w:val="1"/>
          <w:bCs w:val="1"/>
          <w:sz w:val="32"/>
          <w:szCs w:val="32"/>
        </w:rPr>
      </w:pPr>
    </w:p>
    <w:p>
      <w:pPr>
        <w:pStyle w:val="No Spacing"/>
        <w:jc w:val="both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Обязательно присутствие на сцене и у </w:t>
      </w:r>
      <w:r>
        <w:rPr>
          <w:b w:val="1"/>
          <w:bCs w:val="1"/>
          <w:sz w:val="32"/>
          <w:szCs w:val="32"/>
          <w:rtl w:val="0"/>
          <w:lang w:val="ru-RU"/>
        </w:rPr>
        <w:t>FOH-</w:t>
      </w:r>
      <w:r>
        <w:rPr>
          <w:b w:val="1"/>
          <w:bCs w:val="1"/>
          <w:sz w:val="32"/>
          <w:szCs w:val="32"/>
          <w:rtl w:val="0"/>
          <w:lang w:val="ru-RU"/>
        </w:rPr>
        <w:t>пульта минимум по одному оптимистически настроенному квалифицированному специалисту для решения технических проблем</w:t>
      </w:r>
      <w:r>
        <w:rPr>
          <w:b w:val="1"/>
          <w:bCs w:val="1"/>
          <w:sz w:val="32"/>
          <w:szCs w:val="32"/>
          <w:rtl w:val="0"/>
          <w:lang w:val="ru-RU"/>
        </w:rPr>
        <w:t>.</w:t>
      </w:r>
    </w:p>
    <w:p>
      <w:pPr>
        <w:pStyle w:val="No Spacing"/>
        <w:rPr>
          <w:b w:val="1"/>
          <w:bCs w:val="1"/>
          <w:sz w:val="32"/>
          <w:szCs w:val="32"/>
        </w:rPr>
      </w:pPr>
    </w:p>
    <w:p>
      <w:pPr>
        <w:pStyle w:val="No Spacing"/>
        <w:rPr>
          <w:b w:val="1"/>
          <w:bCs w:val="1"/>
          <w:sz w:val="32"/>
          <w:szCs w:val="32"/>
        </w:rPr>
      </w:pPr>
    </w:p>
    <w:p>
      <w:pPr>
        <w:pStyle w:val="Normal.0"/>
        <w:rPr>
          <w:rFonts w:ascii="Arial" w:cs="Arial" w:hAnsi="Arial" w:eastAsia="Arial"/>
          <w:smallCaps w:val="1"/>
        </w:rPr>
      </w:pPr>
    </w:p>
    <w:p>
      <w:pPr>
        <w:pStyle w:val="Normal.0"/>
        <w:jc w:val="right"/>
        <w:rPr>
          <w:u w:val="single"/>
        </w:rPr>
      </w:pPr>
    </w:p>
    <w:p>
      <w:pPr>
        <w:pStyle w:val="Normal.0"/>
        <w:jc w:val="right"/>
        <w:rPr>
          <w:b w:val="1"/>
          <w:bCs w:val="1"/>
          <w:i w:val="1"/>
          <w:iCs w:val="1"/>
          <w:u w:val="single"/>
        </w:rPr>
      </w:pP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Звукорежиссёр Красиков Иван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тел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ru-RU"/>
        </w:rPr>
        <w:t>. +7963-975-93-27</w:t>
      </w:r>
    </w:p>
    <w:p>
      <w:pPr>
        <w:pStyle w:val="Normal.0"/>
        <w:jc w:val="right"/>
        <w:rPr>
          <w:b w:val="1"/>
          <w:bCs w:val="1"/>
          <w:i w:val="1"/>
          <w:iCs w:val="1"/>
          <w:u w:val="single"/>
        </w:rPr>
      </w:pPr>
      <w:r>
        <w:rPr>
          <w:rStyle w:val="Hyperlink.0"/>
          <w:b w:val="1"/>
          <w:bCs w:val="1"/>
          <w:i w:val="1"/>
          <w:iCs w:val="1"/>
          <w:lang w:val="en-US"/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lang w:val="en-US"/>
        </w:rPr>
        <w:instrText xml:space="preserve"> HYPERLINK "mailto:krasikoff@list.ru"</w:instrText>
      </w:r>
      <w:r>
        <w:rPr>
          <w:rStyle w:val="Hyperlink.0"/>
          <w:b w:val="1"/>
          <w:bCs w:val="1"/>
          <w:i w:val="1"/>
          <w:iCs w:val="1"/>
          <w:lang w:val="en-US"/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rtl w:val="0"/>
          <w:lang w:val="en-US"/>
        </w:rPr>
        <w:t>krasikoff</w:t>
      </w:r>
      <w:r>
        <w:rPr>
          <w:rStyle w:val="Ссылка"/>
          <w:b w:val="1"/>
          <w:bCs w:val="1"/>
          <w:i w:val="1"/>
          <w:iCs w:val="1"/>
          <w:rtl w:val="0"/>
          <w:lang w:val="ru-RU"/>
        </w:rPr>
        <w:t>@</w:t>
      </w:r>
      <w:r>
        <w:rPr>
          <w:rStyle w:val="Hyperlink.0"/>
          <w:b w:val="1"/>
          <w:bCs w:val="1"/>
          <w:i w:val="1"/>
          <w:iCs w:val="1"/>
          <w:rtl w:val="0"/>
          <w:lang w:val="en-US"/>
        </w:rPr>
        <w:t>list</w:t>
      </w:r>
      <w:r>
        <w:rPr>
          <w:rStyle w:val="Ссылка"/>
          <w:b w:val="1"/>
          <w:bCs w:val="1"/>
          <w:i w:val="1"/>
          <w:iCs w:val="1"/>
          <w:rtl w:val="0"/>
          <w:lang w:val="ru-RU"/>
        </w:rPr>
        <w:t>.</w:t>
      </w:r>
      <w:r>
        <w:rPr>
          <w:rStyle w:val="Hyperlink.0"/>
          <w:b w:val="1"/>
          <w:bCs w:val="1"/>
          <w:i w:val="1"/>
          <w:iCs w:val="1"/>
          <w:rtl w:val="0"/>
          <w:lang w:val="en-US"/>
        </w:rPr>
        <w:t>ru</w:t>
      </w:r>
      <w:r>
        <w:rPr/>
        <w:fldChar w:fldCharType="end" w:fldLock="0"/>
      </w:r>
    </w:p>
    <w:p>
      <w:pPr>
        <w:pStyle w:val="Normal.0"/>
        <w:jc w:val="right"/>
        <w:rPr>
          <w:b w:val="1"/>
          <w:bCs w:val="1"/>
          <w:i w:val="1"/>
          <w:iCs w:val="1"/>
          <w:u w:val="single"/>
        </w:rPr>
      </w:pPr>
    </w:p>
    <w:p>
      <w:pPr>
        <w:pStyle w:val="Normal.0"/>
        <w:rPr>
          <w:b w:val="1"/>
          <w:bCs w:val="1"/>
          <w:i w:val="1"/>
          <w:iCs w:val="1"/>
          <w:u w:val="single"/>
        </w:rPr>
      </w:pPr>
      <w:r>
        <w:rPr>
          <w:rFonts w:ascii="Arial" w:hAnsi="Arial"/>
          <w:b w:val="1"/>
          <w:bCs w:val="1"/>
          <w:rtl w:val="0"/>
          <w:lang w:val="ru-RU"/>
        </w:rPr>
        <w:t>PATCH LIST</w:t>
      </w:r>
    </w:p>
    <w:p>
      <w:pPr>
        <w:pStyle w:val="Normal.0"/>
        <w:spacing w:before="30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ru-RU"/>
        </w:rPr>
        <w:t>Inputs</w:t>
      </w:r>
    </w:p>
    <w:tbl>
      <w:tblPr>
        <w:tblW w:w="7394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"/>
        <w:gridCol w:w="1687"/>
        <w:gridCol w:w="2763"/>
        <w:gridCol w:w="2114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 xml:space="preserve">CH.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CH. NAME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SOURSE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STANDS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Kick in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SM 91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Kick out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D112 (beta52)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Низкая стойка «журавль»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Snare top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Beta 57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Clamp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Snare bottom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Beta 57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Clamp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Hi Hatt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SM 81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Низкая стойка «журавль»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Rack Tom 1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E604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Clamp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Rack Tom 2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E604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Clamp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Floor Tom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E604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Clamp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Overhead L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C414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«журавль»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Overhead R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C414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«журавль»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Nord Drum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direct box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Nord Drum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direct box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Bass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direct box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Guitar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Beta 57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Низкая стойка «журавль»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Keys L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direct box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Keys R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direct box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PB L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direct box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PB R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direct box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MAXIM LEAD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 xml:space="preserve">Wireless mic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Beta58A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Прямая стойка</w:t>
            </w:r>
          </w:p>
        </w:tc>
      </w:tr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KRIS LEAD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 xml:space="preserve">Wireless mic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Beta58A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Прямая стойка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GUIT Back Voc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Beta58A</w:t>
            </w:r>
          </w:p>
        </w:tc>
        <w:tc>
          <w:tcPr>
            <w:tcW w:type="dxa" w:w="2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Журавль</w:t>
            </w:r>
          </w:p>
        </w:tc>
      </w:tr>
    </w:tbl>
    <w:p>
      <w:pPr>
        <w:pStyle w:val="Normal.0"/>
        <w:spacing w:before="300"/>
        <w:ind w:left="2" w:hanging="2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30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30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ru-RU"/>
        </w:rPr>
        <w:t>Outputs</w:t>
      </w:r>
    </w:p>
    <w:tbl>
      <w:tblPr>
        <w:tblW w:w="649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"/>
        <w:gridCol w:w="2549"/>
        <w:gridCol w:w="31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ROUTING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LEAD</w:t>
            </w:r>
          </w:p>
        </w:tc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Mix 1, pre fader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Keys</w:t>
            </w:r>
          </w:p>
        </w:tc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Mix 2, pre fader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Guitar</w:t>
            </w:r>
          </w:p>
        </w:tc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Mix 3, pre fader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Bass</w:t>
            </w:r>
          </w:p>
        </w:tc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Mix 4, pre fader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Drumfill</w:t>
            </w:r>
          </w:p>
        </w:tc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0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Mix 5, pre fader</w:t>
            </w:r>
          </w:p>
        </w:tc>
      </w:tr>
    </w:tbl>
    <w:p>
      <w:pPr>
        <w:pStyle w:val="Normal.0"/>
        <w:spacing w:before="300"/>
        <w:ind w:left="108" w:hanging="108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30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mallCaps w:val="1"/>
          <w:sz w:val="36"/>
          <w:szCs w:val="36"/>
          <w:lang w:val="en-US"/>
        </w:rPr>
      </w:pPr>
    </w:p>
    <w:p>
      <w:pPr>
        <w:pStyle w:val="Normal.0"/>
        <w:spacing w:line="216" w:lineRule="auto"/>
      </w:pPr>
      <w:r>
        <w:rPr>
          <w:rFonts w:ascii="Arial" w:cs="Arial" w:hAnsi="Arial" w:eastAsia="Arial"/>
          <w:b w:val="1"/>
          <w:bCs w:val="1"/>
          <w:smallCaps w:val="1"/>
          <w:sz w:val="36"/>
          <w:szCs w:val="36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b w:val="1"/>
      <w:bCs w:val="1"/>
      <w:i w:val="1"/>
      <w:iCs w:val="1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